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17 352 vom 27. März 2018</w:t>
      </w:r>
    </w:p>
    <w:p>
      <w:r>
        <w:t>VS Kantonsgericht, 2018-03-27, FR</w:t>
      </w:r>
    </w:p>
    <w:p>
      <w:r>
        <w:rPr>
          <w:b/>
        </w:rPr>
        <w:t xml:space="preserve">Quelle: </w:t>
      </w:r>
      <w:r>
        <w:t>https://mcp.opencaselaw.ch/entscheid/vs_gerichte_C2 17 352</w:t>
      </w:r>
    </w:p>
    <w:p>
      <w:r>
        <w:t>FR: VS_GERICHTE C2 17 352 du 27 mars 2018</w:t>
      </w:r>
    </w:p>
    <w:p>
      <w:r>
        <w:t>IT: VS_GERICHTE C2 17 352 del 27 marzo 2018</w:t>
      </w:r>
    </w:p>
    <w:p>
      <w:pPr>
        <w:pStyle w:val="Heading2"/>
      </w:pPr>
      <w:r>
        <w:t>Regeste</w:t>
      </w:r>
    </w:p>
    <w:p>
      <w:r>
        <w:t>C2 17 352 DÉCISION DU 27 MARS 2018 Le juge I du district de Sion M. François Vouilloz, juge ; Mme Sophie Bartholdi Métrailler, greffier, en la cause X _________, instante, représentée par Maître M _________, avocat, contre Y _________, intimé. (mesures provisionnelles ; modification MPUC)</w:t>
      </w:r>
    </w:p>
    <w:p>
      <w:pPr>
        <w:pStyle w:val="Heading2"/>
      </w:pPr>
      <w:r>
        <w:t>Erwägungen</w:t>
      </w:r>
    </w:p>
    <w:p>
      <w:r>
        <w:rPr>
          <w:b/>
        </w:rPr>
        <w:t>E. 1</w:t>
      </w:r>
    </w:p>
    <w:p>
      <w:r>
        <w:t>Toute autorité judiciaire doit examiner d'office sa compétence en raison de la matière (art. 4 ss CPC) et du lieu (art. 9 ss CPC) (art. 59 al. 2 let. b CPC et art. 60 CPC).</w:t>
      </w:r>
    </w:p>
    <w:p>
      <w:r>
        <w:t>Selon l'art. 46 LDIP – réservé par l’art. 2 CPC -, les autorités judiciaires ou administratives suisses du domicile ou, à défaut de domicile, celles de la résidence habituelle de l’un des époux sont compétentes pour connaître des actions ou ordonner les mesures relatives aux effets du mariage. Les effets du mariage sont régis par le droit de l’Etat dans lequel les époux sont domiciliés (art. 48 LDIP). Selon l'art. 49 LDIP, l’obligation alimentaire entre époux est régie par la convention de La Haye du 2 octobre 1973 sur la loi applicable aux obligations alimentaires (RS 0.211.213.01). L'art.</w:t>
      </w:r>
    </w:p>
    <w:p>
      <w:r>
        <w:rPr>
          <w:b/>
        </w:rPr>
        <w:t>E. 4</w:t>
      </w:r>
    </w:p>
    <w:p>
      <w:r>
        <w:t>février 2011 consid. 2.2.3; arrêt 5A_383/2007 du 9 novembre 2007, consid. 2), mais il ne saurait toutefois valoir lorsque le débirentier est imposé à la source, dès lors que le montant de cet impôt est déduit de son salaire sans qu'il puisse s'y opposer. 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Les frais professionnels, tels que les frais de déplacement lorsqu'ils sont nécessaires à l'acquisition du revenu, sont pris en compte par le calcul d'une indemnité au kilomètre de 60 ct., ce montant comprenant l'assurance RC véhicule, les impôts véhicule et les frais d'essence (LEUBA/BASTONS BULETTI, Atelier sur la contribution d'entretien de l'enfant dans le cadre du divorce, in: Enfant et divorce, Symposium en droit de la famille des 4 et 5 octobre 2005, Université de Fribourg, p. 13).</w:t>
      </w:r>
    </w:p>
    <w:p>
      <w:r>
        <w:t>Pour fixer la contribution d'entretien, le tribunal doit en principe tenir compte du revenu effectif des parties.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arrêt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d'inciter la personne à réaliser le revenu qu'elle est en mesure de se procurer et que l'on peut raisonnablement exiger d'elle qu'elle obtienne afin de remplir ses obligations (ATF 137 III 118 consid. 2.3 et les réf. citées; arrêt 5A_720/2011 du 8 mars 2012 et les réf. citées). Lorsque le tribunal entend tenir compte d’un revenu hypothétique, il doit examiner successivement deux conditions. Tout d'abord, il doit juger si l'on peut raisonnablement exiger de cette personne qu'elle exerce une activité lucrative, eu égard, notamment, à sa formation, à</w:t>
      </w:r>
    </w:p>
    <w:p>
      <w:r>
        <w:t>- 23 -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Il peut aussi se fonder sur l'expérience générale de la vie; toutefois, même dans ce cas, les faits qui permettent d'appliquer des règles d'expérience doivent être établis (ATF 137 III 118 consid. 3.2).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précité; arrêt 5A_181/2014 du 3 juin 2014 consid. 4.3; arrêt 5A_891/2013 du 12 mars 2014 consid. 4.1.2 et les références). Si le tribunal entend exiger de lui la prise ou la reprise d'une activité lucrative, il doit généralement lui accorder un délai approprié pour s'adapter à sa nouvelle situation (ATF 129 III 417 consid. 2.2).</w:t>
      </w:r>
    </w:p>
    <w:p>
      <w:r>
        <w:t>3.4. Lors du calcul de la contribution d’entretien, les prestations d’assurances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Message, FF 2014 559). Les allocations familiales font en effet partie des revenus de l'enfant et doivent être payées en sus de la contribution d'entretien lorsqu'elles sont versées à la personne tenue de pourvoir à l'entretien de l'enfant (art. 285a al. 1 CC). 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w:t>
      </w:r>
    </w:p>
    <w:p>
      <w:r>
        <w:t>- 24 -</w:t>
      </w:r>
    </w:p>
    <w:p>
      <w:r>
        <w:rPr>
          <w:b/>
        </w:rPr>
        <w:t>E. 4.1</w:t>
      </w:r>
    </w:p>
    <w:p>
      <w:r>
        <w:t>X _________ requiert l’octroi d’une contribution mensuelle d’entretien de 800 fr. pour chacun de ses enfants, allocations familiales en sus. Les conclusions de l’instante tendant à l’octroi d’une contribution d’entretien en faveur de son fils C _________, né le xxx 1999 et déjà majeur lors de l’introduction de la requête, sont irrecevables (art. 176 al. 3 CC)</w:t>
      </w:r>
    </w:p>
    <w:p>
      <w:r>
        <w:t>X _________ n’exerce pas d’activité lucrative régulière et bénéficie de l’aide sociale de la Ville de B _________. Pour sa part, l’époux dispose actuellement de revenu provenant de son activité de bagagiste, à raison de quelques heures par mois, savoir 320 fr. 20 mensuellement (3'722 fr. 85 : 12 mois) et perçoit, pour le surplus, l’aide sociale de la commune de U _________ à raison de 2‘056 fr. par mois en 2017. Ces éléments attestent d’une situation économique difficile du ménage X et Y _________.</w:t>
      </w:r>
    </w:p>
    <w:p>
      <w:r>
        <w:t>Durant le mariage, X _________ a notamment œuvré comme ouvrière auprès de G _________ ainsi que comme technicienne de surface pour Z _________, notamment jusqu’en août 2014, date depuis laquelle elle n’a plus exercé d’activité lucrative rémunérée. Elle n’a ni allégué, ni établi une éventuelle incapacité de travail pour des motifs médicaux. En particulier, X _________ a indiqué que sa capacité de travail serait de 100% dès le 1er avril 2018, ses problèmes de ligaments ne constituant plus</w:t>
      </w:r>
    </w:p>
    <w:p>
      <w:r>
        <w:t>- 25 - une entrave dès cette date. La réalisation d’un revenu d’un certain niveau est nécessaire pour que les époux puissent faire face aux frais supplémentaires qu’engendre la séparation. Compte tenu de l’octroi de la garde des deux enfants à l’instante, de l’âge de ceux-ci (12 ans), le tribunal considère que rien ne s’oppose à exiger de la mère la reprise d’une activité lucrative à tout le moins à temps partiel. Selon la règle des degrés scolaires préconisées par une partie de la doctrine (JUNGO/AEBI-MÜLLER/SCHWEIGHAUSER, Der Betreuungsunterhalt, Das Konzept – die Betreuungskosten – die Unterhaltsberechnung, in FamPra.ch 01/2017, p. 168), un taux d’activité entre 70 et 80% serait même exigible. S'agissant de ses perspectives professionnelles, X _________ dispose d’une formation professionnelle de coiffeuse, domaine dans lequel elle n’a jamais œuvré. Elle a cependant travaillé comme ouvrière durant 11 ans et comme technicienne de surface durant plusieurs années. Les possibilités de trouver un emploi dans ces différents domaines paraissent effectives sur le vu des diverses annonces publiées sur les sites tels que AA _________ ou BB _________. Tenant compte de l'activité exercée depuis le mariage, de l’âge (44 ans), de l’expérience et du marché du travail, le tribunal de céans estime à 1’500 fr. le revenu hypothétique net pour une activité à 50% que X _________ pourrait réaliser en faisant l'effort que l'on peut raisonnablement exiger d’elle dans le domaine des nettoyages (2’800 fr. net à 100%) ou de la manutention ouvrière (3’900 fr. net à 100%) (cf. Salarium - calculateur individuel de salaires). Selon le site I _________, la formation d’auxiliaire de santé comprend 20 jours de cours, à raison d’un ou deux jours de cours par semaine, suivis de 15 jours ouvrables de stage obligatoire. Ces conditions n’entravent pas l’instante dans l’exercice d’une activité à 50% en parallèle de ces cours. Il convient toutefois d’octroyer à l’intimée un délai de six mois courant dès le 1er avril 2018 (fin de son incapacité de travail pour raisons médicales) pour trouver un emploi, ce délai paraissant approprié pour que dame X _________ s’adapte et soit en mesure de réaliser le revenu hypothétique que l’on peut exiger d’elle.</w:t>
      </w:r>
    </w:p>
    <w:p>
      <w:r>
        <w:t>S’agissant de Y _________ qui ne travaille que quelques heures par mois en qualité de bagagiste, rien au dossier n’établit son éventuelle incapacité de travail. Il n'a produit ni certificat médical, ni explication convaincante à ce sujet. L’état de santé de l'intimé ne constitue donc pas un empêchement à exercer une activité lucrative. Il en va de même de la prise en charge des jumeaux mineurs du couple dans la mesure où la garde de ceux-ci a été attribuée à leur mère. Dans le passé, Y _________ a notamment œuvré comme aide-soignant, bagagiste, préparateur et magasinier. Les</w:t>
      </w:r>
    </w:p>
    <w:p>
      <w:r>
        <w:t>- 26 - documents remis par N _________ attestent que l’intimé a effectué des recherches d’emploi comme coursier, chauffeur-livreur, ouvrier, vendeur et serveur. Ce dernier ne s'est pas déterminé quant à ses perspectives professionnelles. Le fait que l'intimé se soit inscrit au chômage illustre certes sa volonté de travailler même si actuellement ses recherches sont demeurées infructueuses. Rien ne s’oppose à ce que Y _________ occupe des fonctions qu'il avait déjà exercées auparavant. Le dossier atteste d’un manque de collaboration de l’intimé avec les intervenants sociaux qui ont occasionné des sanctions, ce qui tend à rendre vraisemblable la mauvaise volonté de ce dernier. Sur le vu de ces divers éléments ainsi que l’âge de l’intimé (47 ans), le tribunal considère que Y _________ est en mesure d’exercer une activité lucrative à un taux de 100%. Se référant au " Salarium - calculateur individuel de salaires " de la Confédération, en particulier au revenu mensuel brut inférieur indiqué s’agissant du Valais, le tribunal retient des gains mensuels nets - après déduction de près de 15.6 % de charges sociales (4.2 % [AVS] + 0.7 % [AI] + 1.35 % [AANP] + 0.25 % [APG] + 1.1 % [AC] + 0.3 % [AF] + 7.73 % [PP] ; Assurances sociales en Suisse, Statistiques de poche 2015, www.bsv.admin.ch) de 4'480 fr. net à 100% en qualité d’ouvrier de chantier, de 4'630 fr. net à 100% en qualité de chauffeur-livreur, 3'800 fr. net à 100% en qualité de magasinier). Partant, un revenu mensuel hypothétique net de 4’300 fr. lui est imputé. L’octroi d’un délai de six mois à l’intimé pour réaliser celui-ci semble approprié en l’espèce, délai courant dès le dépôt de la requête, savoir le 6 octobre 2017.</w:t>
      </w:r>
    </w:p>
    <w:p>
      <w:r>
        <w:t>Partant, le revenu mensuel total des époux X et Y _________ est ainsi arrêté à 4'300 fr. dès le 1er avril 2018 et à 5'800 fr. (1'500 fr. + 4’300) dès le 1er octobre 2018.</w:t>
      </w:r>
    </w:p>
    <w:p>
      <w:r>
        <w:t>Le minimum vital de X _________, arrêté en la présente procédure conformément aux principes développés en la matière par la jurisprudence et la doctrine (BlSchK 2009 p. 196 ss; ATF 114 II 26 et 304; RVJ 1989 p. 266), est fixé à 2’610 fr. (montant arrondi) [1’350 fr. (montant de base pour un parent monoparental) + 1'260 fr. (loyer - 30% de 1'800 fr. part des enfants)], étant précisé que seules les charges réellement acquittées selon pièces fournies par l’instante ont été retenues. Les frais de téléphone et d’internet ne sont pas pris en compte car déjà inclus dans le montant de base selon les directives OP/OF, voire non indispensables.</w:t>
      </w:r>
    </w:p>
    <w:p>
      <w:r>
        <w:t>- 27 - Pour sa part, le minimum vital de l’époux peut être fixé en la présente procédure sommaire à 2'350 fr. (montant arrondi) [1’200 fr. (montant de base pour un débiteur monoparental) + 1’150 fr. (loyer)]. Ne sont pas prises en compte les charges non effectives et non réellement acquittées par l’intimé, en particulier le remboursement non documenté de dettes éventuelles, ni des dépenses hypothétiques dont l’existence est incertaine - et à concurrence de quel montant - ni si elles seront en définitive assumées.</w:t>
      </w:r>
    </w:p>
    <w:p>
      <w:r>
        <w:rPr>
          <w:b/>
        </w:rPr>
        <w:t>E. 4.2</w:t>
      </w:r>
    </w:p>
    <w:p>
      <w:r>
        <w:t>Appliquant la méthode du calcul à partir du minimum élargi du droit des poursuites, préconisée notamment par la doctrine, les coûts directs de E _________ et D _________ doivent s’établir en tenant compte d’un minimum vital de 600 fr. et d’une part au loyer de 270 fr. par enfant [30% de 1’800 fr. (loyer du parent gardien savoir la mère en l’occurrence) : 2), savoir par 870 fr. Le paiement des primes de caisse- maladie (primes de base) de 85 fr. 65 pour chacun d’eux fait actuellement l’objet d’une exemption (art. 6 al. 5 OcRIP). Les parties n’ont pas établi par le dépôt de pièces probantes l’existence d’autres coûts directs des enfants tels que ceux de frais de garde par un tiers, des activités extra-scolaires, des éventuels frais de transport y relatifs, des frais médicaux, orthodontiques ou autres. Après déduction des allocations familiales, par 275 fr., les coûts directs de E _________ et D _________ se montent à 595 fr. chacun (870 fr. - 275 fr. allocations familiales).</w:t>
      </w:r>
    </w:p>
    <w:p>
      <w:r>
        <w:t>La prise en charge de E _________et D _________ mise en place depuis la séparation est maintenue de sorte qu’elle est principalement assumée par la mère. Il convient dès lors de déterminer si le père doit payer en sus une contribution de prise en charge. X _________ subit un déficit de 2'610 fr. jusqu’au 1er octobre 2018, puis de 1’110 fr. (1’500 fr. - 2'610 fr.) dès cette date après reprise d’une activité lucrative à 50%. Compte tenu notamment de ces élément, de l’âge des enfants, de leurs horaires scolaires (32 heures par semaine), de l’absence de nécessité d’une prise en charge constante, d’une participation par des prestations en nature et s’inspirant des principes jurisprudentiels prévalant en matière de reprise d’une activité lucrative, le tribunal de céans considère que dite contribution peut être réduite de 50%. Elle sera donc de 1'305 fr. jusqu’au 1er octobre 2018, puis de 555 fr. dès cette date, savoir respectivement 653 fr. par enfant jusqu’au 1er octobre 2018 (montant arrondi ; 1’305 fr. : 2), puis 278 fr. dès cette date (montant arrondi ; 555 fr. : 2).</w:t>
      </w:r>
    </w:p>
    <w:p>
      <w:r>
        <w:t>- 28 -</w:t>
      </w:r>
    </w:p>
    <w:p>
      <w:r>
        <w:t>En définitive, le coût mensuel de l’entretien convenable actuel de E _________ et D _________ se monte à 1'248 fr. chacun (montant arrondi ; 595 fr. coûts directs + 653 fr. contribution de prise en charge) jusqu’au 1er octobre 2018, puis à 873 fr. chacun (montant arrondi ; 595 fr. coûts directs + 278 fr. contribution de prise en charge) dès cette date.</w:t>
      </w:r>
    </w:p>
    <w:p>
      <w:r>
        <w:t>Compte tenu du déficit de la mère, même après reprise d’une activité lucrative à 50% et du fait que le père dispose d’un solde disponible de 1'950 fr. (4'300 fr. - 2'350 fr.) dès avril 2018, il se justifie de mettre l’intégralité du coût de l’entretien convenable de E _________ et D _________ à la charge de Y _________. Ce dernier, par 2'496 fr. (1'248 fr. x 2) jusqu’au 1er octobre 2018, porte cependant atteinte au minimum vital de l’intimé arrêté en la présente procédure sommaire à 2'350 fr., son solde disponible étant de 1’950 fr. jusqu’à cette date. Aucune atteinte au minimum vital ne subsiste cependant dès le 1er octobre 2018, le solde disponible de Y _________ n’étant pas atteint par le coût de l’entretien convenable de E _________ et D _________ qui se chiffrera alors à 1'716 fr. (873 fr. x 2.). Dans ces conditions, Y _________ versera, en mains de la mère, à chacun de ses enfants E _________ et D _________ une contribution d’entretien de 975 fr. par mois jusqu’au 1er octobre 2018 (1'950 fr. : 2), puis de 873 fr. dès le 1er octobre 2018, allocations familiales à verser en sus pour le cas où elles seraient perçues par le père. Dits montants sont payables mensuellement d’avance, le 1er de chaque mois, et porteront intérêt à 5% dès chaque date d’échéance.</w:t>
      </w:r>
    </w:p>
    <w:p>
      <w:r>
        <w:rPr>
          <w:b/>
        </w:rPr>
        <w:t>E. 5</w:t>
      </w:r>
    </w:p>
    <w:p>
      <w:r>
        <w:t>L’Etat du Valais pourra exiger de X _________, née le xxx 1974, ressortissante xxx , fille de xxx et de xxx, à B _________, le remboursement de ses prestations fournies au titre de l’assistance judiciaire (120 fr. frais + 1’680 fr. dépens) si la situation économique de cette dernière, ayant permis l'octroi de l'assistance judiciaire, s'est améliorée (art. 123 CPC ; art. 10 al 1 let a LAJ).</w:t>
      </w:r>
    </w:p>
    <w:p>
      <w:r>
        <w:t>Sion, le 27 mars 2018</w:t>
      </w:r>
    </w:p>
    <w:p>
      <w:r>
        <w:rPr>
          <w:b/>
        </w:rPr>
        <w:t>E. 5.1</w:t>
      </w:r>
    </w:p>
    <w:p>
      <w:r>
        <w:t>Le montant de la contribution d'entretien due selon l'art. 176 al. 1 ch. 1 CC se détermine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(ATF 140 III 337 consid. 4.2.1 p. 338; 138 III 97 consid. 2.2 p. 98 s.; 137 III 385 consid. 3.1 p. 386 s.). Pour fixer la contribution d'entretien selon l'art. 176 al. 1 ch. 1 CC, le tribunal doit partir de la convention, expresse ou tacite, que les époux ont conclue au sujet de la répartition des tâches et des ressources entre eux (art. 163 al. 1 CC). La loi n'impose pas au tribunal de méthode de calcul particulière pour fixer la quotité de la contribution d'entretien (ATF</w:t>
      </w:r>
    </w:p>
    <w:p>
      <w:r>
        <w:t>- 29 - 140 III 337 consid. 4.2.2 p. 339; 128 III 411 consid. 3.2.2 p. 414). La détermination de celle-ci relève du pouvoir d'appréciation du tribunal du fait, qui applique les règles du droit et de l'équité (art. 4 CC). A cet égard, il n'y a violation du droit fédéral que si le tribunal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p. 141). Lorsque les époux ne réalisaient pas d'économies durant la vie commune ou qu'en raison des frais supplémentaires liés à l'existence de deux ménages séparés et de nouvelles charges, le revenu est entièrement absorbé par l'entretien courant, le tribunal peut appliquer la méthode dite du minimum vital avec répartition de l'excédent (ATF 140 III 337 consid. 4.2.2 p. 339 et les références).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p. 100 [mesures provisionnelles pendant la procédure de divorce]; 114 II 26 consid. 7 p. 31). Le minimum vital du débirentier au sens de l'art. 93 LP doit dans tous les cas être préservé, de sorte qu'un éventuel déficit est supporté uniquement par le crédirentier (ATF 140 III 337 consid. 4.3 p. 339 s. et les références).</w:t>
      </w:r>
    </w:p>
    <w:p>
      <w:r>
        <w:rPr>
          <w:b/>
        </w:rPr>
        <w:t>E. 5.2</w:t>
      </w:r>
    </w:p>
    <w:p>
      <w:r>
        <w:t>En l’espèce, l’épouse a conclu à l’octroi d’une pension alimentaire de 1’000 fr. par mois, ce à quoi l’intimé s’oppose refusant le versement de toute contribution d’entretien. Le solde disponible de l’époux ne suffit pas à couvrir les pensions alimentaires en faveur des enfants du couple dans un premier temps, puis suffit à peine dans un deuxième temps de sorte que cette prétention doit être rejetée.</w:t>
      </w:r>
    </w:p>
    <w:p>
      <w:r>
        <w:t>6.1. Les frais sont en principe mis à la charge de la partie qui succombe (art. 106 al. 1 CPC). Lorsqu’aucune des deux parties n’obtient entièrement gain de cause, ils sont répartis selon le sort de la cause (art. 106 al. 2 CPC). Dans les litiges relevant du droit de la famille, le tribunal peut s’écarter des règles générales et répartir les frais selon sa libre appréciation (art. 107 al. 1 let. c CPC).</w:t>
      </w:r>
    </w:p>
    <w:p>
      <w:r>
        <w:t>- 30 - Compte tenu du sort réservé aux conclusions de l’instante (plus petitio s’agissant de sa pension), de la particularité du cas d’espèce, de la difficulté de la cause, de la situation financière des parties, les frais de procédure et de décision, par 400 fr. (émolument : 375 fr.; huissier : 25 fr.), doivent être mis à la charge des parties par moitié chacune.</w:t>
      </w:r>
    </w:p>
    <w:p>
      <w:r>
        <w:t>Les frais, par 200 fr., mis à la charge de X _________ sont provisoirement supportés par l’Etat du Valais au titre de l'assistance judiciaire.</w:t>
      </w:r>
    </w:p>
    <w:p>
      <w:r>
        <w:t>6.2. 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de l'avocat comprennent tant ses honoraires que ses débours effectifs (art. 3 al. 3 LTar). Les dépens couvrent, en principe, les frais indispensables occasionnés par le litige (art. 4 al. 1 LTar). Les frais de copies ne peuvent excéder 0.50 fr./pièce et l'indemnité de déplacement doit être fixée à 0.60 fr./km (ATF 118 Ib 352, 117 Ia 24; art. 7 al. 1 LTar par analogie). Selon l’art. 34 LTar, dans les autres contestations et affaires civiles, les honoraires sont fixés de 1100 fr. à 11'000 fr. Les honoraires sont fixés entre un minimum et un maximum, d'après la nature et l'importance de la cause, ses difficultés, l'ampleur du travail, le temps utilement consacré par le conseil juridique - le tribunal jouit d'un large pouvoir d'appréciation sur ce point (ATF 118 Ia 133 consid. 2d) -, et la situation financière de la partie (art. 27 al. 1 LTar). 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w:t>
      </w:r>
    </w:p>
    <w:p>
      <w:r>
        <w:t>- 31 - En l'espèce, Me M _________ est intervenu en déposant une requête de mesures protectrices de l’union conjugale, une requête d’assistance judiciaire complète, des déterminations, quelques lettres et diverses pièces, en préparant et en assistant aux séances du 23 janvier 2018 et du 7 mars 2018 qui ont duré 50 minutes au total. Par conséquent, l'Etat du Valais versera, pour les dépens au titre de l'assistance judiciaire, une indemnité de 1’800 fr. [débours : 120 fr.; honoraires réduits au sens de l'art. 29 LTar : 1’680 fr. (70% de 2’400 fr.), TVA incluse (art. 27 al. 5 LTar)], à Me M _________, avocat d’office de X _________. Cette indemnité prend en compte notamment la nature et l'importance de la cause, sa difficulté modeste, le temps utilement consacré par l'avocat et la situation financière des parties dans le cadre d'une procédure de mesures provisionnelles, au bénéfice de l'assistance judiciaire (art. 4, 26, 30, 34 LTar).</w:t>
      </w:r>
    </w:p>
    <w:p>
      <w:r>
        <w:t>L’Etat du Valais pourra exiger de X _________ le remboursement de ses prestations fournies au titre de l’assistance judiciaire (200 fr. frais ; 1’800 fr. dépens) si la situation économique de cette dernière, ayant permis l'octroi de l'assistance judiciaire, s'est améliorée (art. 123 al. 1 CPC ; art. 10 al 1 let a LAJ).</w:t>
      </w:r>
    </w:p>
    <w:p>
      <w:r>
        <w:t>Par ces motifs,</w:t>
      </w:r>
    </w:p>
    <w:p>
      <w:r>
        <w:t>- 32 - Prononce</w:t>
      </w:r>
    </w:p>
    <w:p>
      <w:r>
        <w:t>1. Le point 5 de la décision du 24 mai 2016 du juge du district de B _________ rendue dans la cause SIO C2 16 131 est modifié dans la mesure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